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720" w:firstLineChars="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sr-Cyrl-RS" w:eastAsia="sr-Cyrl-RS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sr-Cyrl-RS" w:eastAsia="sr-Cyrl-RS"/>
        </w:rPr>
        <w:t>На основу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US" w:eastAsia="sr-Cyrl-RS"/>
        </w:rPr>
        <w:t xml:space="preserve"> члана 8. став 3. </w:t>
      </w:r>
      <w:r>
        <w:rPr>
          <w:rFonts w:ascii="Times New Roman" w:hAnsi="Times New Roman"/>
          <w:b w:val="0"/>
          <w:bCs w:val="0"/>
          <w:sz w:val="24"/>
          <w:szCs w:val="24"/>
          <w:lang w:val="sr-Cyrl-CS"/>
        </w:rPr>
        <w:t>Правилник</w:t>
      </w:r>
      <w:r>
        <w:rPr>
          <w:rFonts w:ascii="Times New Roman" w:hAnsi="Times New Roman"/>
          <w:b w:val="0"/>
          <w:bCs w:val="0"/>
          <w:sz w:val="24"/>
          <w:szCs w:val="24"/>
          <w:lang w:val="sr-Cyrl-RS"/>
        </w:rPr>
        <w:t>а</w:t>
      </w:r>
      <w:r>
        <w:rPr>
          <w:rFonts w:ascii="Times New Roman" w:hAnsi="Times New Roman"/>
          <w:b w:val="0"/>
          <w:bCs w:val="0"/>
          <w:sz w:val="24"/>
          <w:szCs w:val="24"/>
          <w:lang w:val="sr-Cyrl-CS"/>
        </w:rPr>
        <w:t xml:space="preserve"> о енергетском прегледу објеката стамбених зај</w:t>
      </w:r>
      <w:r>
        <w:rPr>
          <w:rFonts w:ascii="Times New Roman" w:hAnsi="Times New Roman"/>
          <w:b w:val="0"/>
          <w:bCs w:val="0"/>
          <w:sz w:val="24"/>
          <w:szCs w:val="24"/>
          <w:lang w:val="sr-Cyrl-RS"/>
        </w:rPr>
        <w:t>е</w:t>
      </w:r>
      <w:r>
        <w:rPr>
          <w:rFonts w:ascii="Times New Roman" w:hAnsi="Times New Roman"/>
          <w:b w:val="0"/>
          <w:bCs w:val="0"/>
          <w:sz w:val="24"/>
          <w:szCs w:val="24"/>
          <w:lang w:val="sr-Cyrl-CS"/>
        </w:rPr>
        <w:t>дница са предлогом оптималних мера енергетске санације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r-Cyrl-CS"/>
        </w:rPr>
        <w:t>''Службени лист града Зрењанина'', бр.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18/2021 и 1/2022),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sr-Cyrl-RS" w:eastAsia="sr-Cyrl-RS"/>
        </w:rPr>
        <w:t xml:space="preserve"> Закључка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US" w:eastAsia="sr-Cyrl-RS"/>
        </w:rPr>
        <w:t xml:space="preserve"> Градоначелника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sr-Cyrl-RS" w:eastAsia="sr-Cyrl-RS"/>
        </w:rPr>
        <w:t>о расписивању Јавног позива за</w:t>
      </w:r>
      <w:r>
        <w:rPr>
          <w:rFonts w:ascii="Times New Roman" w:hAnsi="Times New Roman" w:eastAsia="Times New Roman" w:cs="Times New Roman"/>
          <w:b w:val="0"/>
          <w:bCs w:val="0"/>
          <w:color w:val="FF0000"/>
          <w:sz w:val="24"/>
          <w:szCs w:val="24"/>
          <w:lang w:val="sr-Cyrl-RS" w:eastAsia="sr-Cyrl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израду акта/документа којим се анализира постојеће енергетско стање објеката стамбених заједница и даје предлог оптималних мера енергетске санације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sr-Cyrl-RS" w:eastAsia="sr-Cyrl-RS"/>
        </w:rPr>
        <w:t>бр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US" w:eastAsia="sr-Cyrl-RS"/>
        </w:rPr>
        <w:t xml:space="preserve">. 016-4/22-012-II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sr-Cyrl-RS" w:eastAsia="sr-Cyrl-RS"/>
        </w:rPr>
        <w:t>од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US" w:eastAsia="sr-Cyrl-RS"/>
        </w:rPr>
        <w:t xml:space="preserve"> 04. 02. 2022. године,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Комисија за оцену пријава пристиглих по Јавном позиву за енергетски преглед објеката за вишепородично становање (у даљем тексту: Комисија),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дана  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>11.02.2022.</w:t>
      </w:r>
      <w:bookmarkStart w:id="1" w:name="_GoBack"/>
      <w:bookmarkEnd w:id="1"/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          године</w:t>
      </w:r>
    </w:p>
    <w:p>
      <w:pPr>
        <w:shd w:val="clear" w:color="auto" w:fill="FFFFFF"/>
        <w:spacing w:after="0" w:line="276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sr-Cyrl-RS" w:eastAsia="sr-Cyrl-R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sr-Cyrl-RS" w:eastAsia="sr-Cyrl-RS"/>
        </w:rPr>
        <w:t>Расписује</w:t>
      </w:r>
    </w:p>
    <w:p>
      <w:pPr>
        <w:shd w:val="clear" w:color="auto" w:fill="FFFFFF"/>
        <w:spacing w:after="0" w:line="276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sr-Cyrl-RS" w:eastAsia="sr-Cyrl-RS"/>
        </w:rPr>
      </w:pPr>
    </w:p>
    <w:p>
      <w:pPr>
        <w:spacing w:after="0" w:line="276" w:lineRule="auto"/>
        <w:contextualSpacing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>
      <w:pPr>
        <w:spacing w:after="0" w:line="276" w:lineRule="auto"/>
        <w:contextualSpacing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Hlk70969037"/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ИЗРАДУ АКТА/ДОКУМЕНТА КОЈИМ СЕ АНАЛИЗИРА ПОСТОЈЕЋЕ ЕНЕРГЕТСКО СТАЊЕ</w:t>
      </w:r>
      <w:r>
        <w:rPr>
          <w:rFonts w:hint="default" w:ascii="Times New Roman" w:hAnsi="Times New Roman" w:eastAsia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ОБЈЕКАТА СТАМБЕНИХ ЗАЈЕДИЦА И ДАЈЕ</w:t>
      </w:r>
      <w:r>
        <w:rPr>
          <w:rFonts w:hint="default" w:ascii="Times New Roman" w:hAnsi="Times New Roman" w:eastAsia="Times New Roman" w:cs="Times New Roman"/>
          <w:b/>
          <w:color w:val="222222"/>
          <w:sz w:val="24"/>
          <w:szCs w:val="24"/>
          <w:shd w:val="clear" w:color="auto" w:fill="FFFFFF"/>
        </w:rPr>
        <w:t xml:space="preserve"> ПРЕДЛОГ ОПТИМАЛНИХ МЕРА ЕНЕРГЕТСКЕ САНАЦИЈЕ</w:t>
      </w:r>
    </w:p>
    <w:bookmarkEnd w:id="0"/>
    <w:p>
      <w:pPr>
        <w:spacing w:after="0" w:line="276" w:lineRule="auto"/>
        <w:contextualSpacing/>
        <w:jc w:val="both"/>
        <w:rPr>
          <w:rFonts w:hint="default" w:ascii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76" w:lineRule="auto"/>
        <w:contextualSpacing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  <w:highlight w:val="none"/>
          <w:lang w:val="sr-Cyrl-R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 xml:space="preserve">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ПРЕДМЕТ ЈАВНОГ ПОЗИВА</w:t>
      </w:r>
    </w:p>
    <w:p>
      <w:pPr>
        <w:spacing w:after="0" w:line="276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Предмет Јавног позива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sr-Cyrl-RS" w:eastAsia="sr-Cyrl-RS"/>
        </w:rPr>
        <w:t>за</w:t>
      </w:r>
      <w:r>
        <w:rPr>
          <w:rFonts w:hint="default" w:ascii="Times New Roman" w:hAnsi="Times New Roman" w:eastAsia="Times New Roman" w:cs="Times New Roman"/>
          <w:color w:val="FF0000"/>
          <w:sz w:val="24"/>
          <w:szCs w:val="24"/>
          <w:lang w:val="sr-Cyrl-RS" w:eastAsia="sr-Cyrl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израду акта/документа којим се анализира постојеће енергетско стање објеката стамбених заједница и даје предлог оптималних мера енергетске санације(у даљем тексту: Јавни позив),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јесте избор 7 стамбених заједница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за израд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у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акта/документа којим се анализира постојеће енергетско стање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CS"/>
        </w:rPr>
        <w:t>објек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CS"/>
        </w:rPr>
        <w:t>та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и даје предлог оптималних мера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енергетске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санације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у складу са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Правилник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о енергетском прегледу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CS"/>
        </w:rPr>
        <w:t>објеката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стамбених зај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дница са предлогом оптималних мера енергетске санације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CS"/>
        </w:rPr>
        <w:t>''Службени лист града Зрењанина'', бр.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18/2021 и 1/2022 - </w:t>
      </w:r>
      <w:r>
        <w:rPr>
          <w:rFonts w:hint="default" w:ascii="Times New Roman" w:hAnsi="Times New Roman" w:cs="Times New Roman"/>
          <w:sz w:val="24"/>
          <w:szCs w:val="24"/>
        </w:rPr>
        <w:t>у даљем тексту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Правилник</w:t>
      </w:r>
      <w:r>
        <w:rPr>
          <w:rFonts w:hint="default"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</w:t>
      </w:r>
    </w:p>
    <w:p>
      <w:pPr>
        <w:jc w:val="both"/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sr-Cyrl-RS" w:eastAsia="sr-Cyrl-RS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sr-Cyrl-R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sr-Cyrl-RS"/>
        </w:rPr>
        <w:t>II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sr-Cyrl-RS"/>
        </w:rPr>
        <w:t xml:space="preserve"> УСЛОВИ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sr-Cyrl-RS" w:eastAsia="sr-Cyrl-RS"/>
        </w:rPr>
        <w:t xml:space="preserve"> УЧЕШЋА НА ЈАВНОМ ПОЗИВУ</w:t>
      </w:r>
    </w:p>
    <w:p>
      <w:pPr>
        <w:spacing w:after="0" w:line="276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sr-Cyrl-RS" w:eastAsia="sr-Cyrl-RS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 Јавном позиву могу учествовати стамбене заједнице које испуњавају следеће услове: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br w:type="textWrapping"/>
      </w: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Објекат/објекти морају имати употребну дозволу;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Објекат/објекти морају бити прикључен на систем даљинског грејања;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sr-Cyrl-RS" w:eastAsia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Одлуку о учешћу на јавном позиву доноси супштина сваке стамбене заједнице, већином коју чини 2/3 укупног броја гласова.</w:t>
      </w:r>
    </w:p>
    <w:p>
      <w:pPr>
        <w:shd w:val="clear" w:color="auto" w:fill="FFFFFF"/>
        <w:spacing w:after="0" w:line="276" w:lineRule="auto"/>
        <w:ind w:left="1080"/>
        <w:rPr>
          <w:rFonts w:hint="default" w:ascii="Times New Roman" w:hAnsi="Times New Roman" w:eastAsia="Times New Roman" w:cs="Times New Roman"/>
          <w:sz w:val="24"/>
          <w:szCs w:val="24"/>
          <w:lang w:val="sr-Cyrl-RS" w:eastAsia="sr-Cyrl-RS"/>
        </w:rPr>
      </w:pPr>
    </w:p>
    <w:p>
      <w:pPr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Право подношења пријаве имају стамбене заједнице са територије града Зрењанина, које су формиране искључиво у стамбеним и стамбено - пословним зградама и које имају изабраног управника или професионалног управника (у даљем тексту: управник).</w:t>
      </w:r>
    </w:p>
    <w:p>
      <w:pPr>
        <w:tabs>
          <w:tab w:val="left" w:pos="0"/>
        </w:tabs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Пријава се подноси као појединачна (за једну стамбену заједницу) или као заједничка (за више стамбених заједница).</w:t>
      </w:r>
    </w:p>
    <w:p>
      <w:pPr>
        <w:tabs>
          <w:tab w:val="left" w:pos="709"/>
        </w:tabs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Уколико се путем једног мерног уређаја (калориметра) врши мерење испоручене топлотне енергије за више стамбених заједница, пријаву морају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заједнички поднети све стамбене заједнице којима се мерење испоручене топлотне енергије врши путем тог мерног уређаја (заједничка пријава).</w:t>
      </w: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Појединачну пријаву подносе стамбене заједнице којима се у моменту објављивања јавног позива, мерење испоручене топлотне енергије врши путем засебног мерног уређаја (калориметра). </w:t>
      </w: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Табела са распоредом мерних уређаја према зградама/улазима (стамбеним заједницама), чини саставни део јавног позива.</w:t>
      </w:r>
    </w:p>
    <w:p>
      <w:pPr>
        <w:spacing w:after="0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</w:t>
      </w:r>
    </w:p>
    <w:p>
      <w:p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>III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ДОКУМЕНТАЦИЈА КОЈУ ЈЕ ПОТРЕБНО ПРИЛОЖИТИ ПРИ ПОДНОШЕЊУ</w:t>
      </w:r>
    </w:p>
    <w:p>
      <w:pPr>
        <w:spacing w:after="0" w:line="276" w:lineRule="auto"/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ПРИЈАВЕ</w:t>
      </w:r>
    </w:p>
    <w:p>
      <w:pPr>
        <w:spacing w:after="0" w:line="276" w:lineRule="auto"/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ind w:firstLine="600" w:firstLineChars="25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Подносилац пријаве је потребно да достави следећу документацију:</w:t>
      </w:r>
    </w:p>
    <w:p>
      <w:pPr>
        <w:spacing w:after="0" w:line="276" w:lineRule="auto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pStyle w:val="15"/>
        <w:numPr>
          <w:ilvl w:val="0"/>
          <w:numId w:val="2"/>
        </w:numPr>
        <w:spacing w:after="0" w:line="276" w:lineRule="auto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Појединачну пријаву (Прилог 1)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RS"/>
        </w:rPr>
        <w:t xml:space="preserve"> у оригиналу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, уколико се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пријава подноси за једну стамбену заједницу,</w:t>
      </w:r>
    </w:p>
    <w:p>
      <w:pPr>
        <w:pStyle w:val="15"/>
        <w:numPr>
          <w:ilvl w:val="0"/>
          <w:numId w:val="2"/>
        </w:numPr>
        <w:spacing w:after="0" w:line="276" w:lineRule="auto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Заједничка пријава (Прилог 2)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RS"/>
        </w:rPr>
        <w:t xml:space="preserve"> у оригиналу,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уколико се пријава подноси за више стамбених заједница,</w:t>
      </w:r>
    </w:p>
    <w:p>
      <w:pPr>
        <w:pStyle w:val="15"/>
        <w:numPr>
          <w:ilvl w:val="0"/>
          <w:numId w:val="2"/>
        </w:numPr>
        <w:spacing w:after="0" w:line="276" w:lineRule="auto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Записник са одлуком стамбене заједнице о учешћу на јавном позиву.</w:t>
      </w:r>
    </w:p>
    <w:p>
      <w:pPr>
        <w:pStyle w:val="15"/>
        <w:numPr>
          <w:ilvl w:val="0"/>
          <w:numId w:val="0"/>
        </w:numPr>
        <w:spacing w:after="0" w:line="276" w:lineRule="auto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pStyle w:val="15"/>
        <w:numPr>
          <w:ilvl w:val="0"/>
          <w:numId w:val="0"/>
        </w:numPr>
        <w:spacing w:after="0" w:line="276" w:lineRule="auto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CS"/>
        </w:rPr>
        <w:t>Пријаве на јавни позив подносе управници стамбених заједница путем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обрасца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Пријаве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(образац Пп или Пз).</w:t>
      </w:r>
    </w:p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За тачност података садржаних у Пријави, записнику и одлуци стамбене заједнице, одговара управник стамбене заједнице.</w:t>
      </w:r>
    </w:p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>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V ПРЕУЗИМАЊЕ ДОКУМЕНТАЦИЈЕ ЗА ЈАВНИ ПОЗИВ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>
      <w:pPr>
        <w:spacing w:after="0" w:line="276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Документација за Јавни позив може се преузети на интернет страници Града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Зрењанина и садржи: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− Комплетан текст Јавног позива,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− Прилог 1 - Појединачна пријава,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− Прилог 2 – Заједничка пријава,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- Табела са распоредом мерних уређаја према зградама/улазима.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>
      <w:p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V КРИТЕРИЈУМИ ЗА ИЗБОР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>
      <w:pPr>
        <w:pStyle w:val="15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Рангирање </w:t>
      </w:r>
      <w:r>
        <w:rPr>
          <w:rFonts w:hint="default" w:ascii="Times New Roman" w:hAnsi="Times New Roman" w:cs="Times New Roman"/>
          <w:sz w:val="24"/>
          <w:szCs w:val="24"/>
        </w:rPr>
        <w:t>пристиглих пријава вршиће с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бодовањем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према следећим критеријумима:</w:t>
      </w:r>
    </w:p>
    <w:p>
      <w:pPr>
        <w:pStyle w:val="15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tbl>
      <w:tblPr>
        <w:tblStyle w:val="14"/>
        <w:tblW w:w="8257" w:type="dxa"/>
        <w:tblInd w:w="11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096"/>
        <w:gridCol w:w="15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6096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558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096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 xml:space="preserve">Потрошња топлотне енергије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подносиоца пријаве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(Пт)</w:t>
            </w:r>
          </w:p>
        </w:tc>
        <w:tc>
          <w:tcPr>
            <w:tcW w:w="1558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096" w:type="dxa"/>
          </w:tcPr>
          <w:p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Редовност измирења обавеза према ЈП’’Градска Топлана’’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Зрењанин од стране подносиоца пријаве (Рд)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8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096" w:type="dxa"/>
          </w:tcPr>
          <w:p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Уграђени делитељи топлоте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(Дт)</w:t>
            </w:r>
          </w:p>
        </w:tc>
        <w:tc>
          <w:tcPr>
            <w:tcW w:w="1558" w:type="dxa"/>
          </w:tcPr>
          <w:p>
            <w:pPr>
              <w:pStyle w:val="15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</w:tbl>
    <w:p>
      <w:pPr>
        <w:tabs>
          <w:tab w:val="left" w:pos="426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где је:</w:t>
      </w: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Пт - потрошња топлотне енергије - израчунава се као однос измерене потрошње топлотне енергије подносиоца пријаве по квадратном метру у грејној сезони 2020/2021 (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Птп)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и  потрошње топлотне енергије по квадратном метру објекта са највећом потрошњом по квадратном метру у грејној сезони 2020/2021 у стамбеним и стамбено - пословним зградама на територији града Зрењанина (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Нтп)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, помножено са 60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.</w:t>
      </w: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  <m:oMathPara>
        <m:oMath>
          <m:r>
            <m:rPr>
              <m:sty m:val="p"/>
            </m:rPr>
            <w:rPr>
              <w:rFonts w:hint="default" w:ascii="Cambria Math" w:hAnsi="Cambria Math" w:cs="Times New Roman"/>
              <w:sz w:val="24"/>
              <w:szCs w:val="24"/>
              <w:lang w:val="sr-Cyrl-RS"/>
            </w:rPr>
            <m:t>Пт</m:t>
          </m:r>
          <m:r>
            <m:rPr>
              <m:sty m:val="p"/>
            </m:rPr>
            <w:rPr>
              <w:rFonts w:hint="default" w:ascii="Cambria Math" w:hAnsi="Cambria Math" w:cs="Times New Roman"/>
              <w:sz w:val="24"/>
              <w:szCs w:val="24"/>
              <w:lang w:val="sr-Latn-RS"/>
            </w:rPr>
            <m:t>=</m:t>
          </m:r>
          <m:f>
            <m:fPr>
              <m:ctrlPr>
                <w:rPr>
                  <w:rFonts w:hint="default" w:ascii="Cambria Math" w:hAnsi="Cambria Math" w:cs="Times New Roman"/>
                  <w:sz w:val="24"/>
                  <w:szCs w:val="24"/>
                  <w:lang w:val="sr-Latn-RS"/>
                </w:rPr>
              </m:ctrlPr>
            </m:fPr>
            <m:num>
              <m:r>
                <m:rPr>
                  <m:sty m:val="p"/>
                </m:rPr>
                <w:rPr>
                  <w:rFonts w:hint="default" w:ascii="Cambria Math" w:hAnsi="Cambria Math" w:cs="Times New Roman"/>
                  <w:sz w:val="24"/>
                  <w:szCs w:val="24"/>
                  <w:lang w:val="sr-Latn-RS"/>
                </w:rPr>
                <m:t>Птп</m:t>
              </m:r>
              <m:ctrlPr>
                <w:rPr>
                  <w:rFonts w:hint="default" w:ascii="Cambria Math" w:hAnsi="Cambria Math" w:cs="Times New Roman"/>
                  <w:sz w:val="24"/>
                  <w:szCs w:val="24"/>
                  <w:lang w:val="sr-Latn-RS"/>
                </w:rPr>
              </m:ctrlPr>
            </m:num>
            <m:den>
              <m:r>
                <m:rPr>
                  <m:sty m:val="p"/>
                </m:rPr>
                <w:rPr>
                  <w:rFonts w:hint="default" w:ascii="Cambria Math" w:hAnsi="Cambria Math" w:cs="Times New Roman"/>
                  <w:sz w:val="24"/>
                  <w:szCs w:val="24"/>
                  <w:lang w:val="sr-Latn-RS"/>
                </w:rPr>
                <m:t>Нтп</m:t>
              </m:r>
              <m:ctrlPr>
                <w:rPr>
                  <w:rFonts w:hint="default" w:ascii="Cambria Math" w:hAnsi="Cambria Math" w:cs="Times New Roman"/>
                  <w:sz w:val="24"/>
                  <w:szCs w:val="24"/>
                  <w:lang w:val="sr-Latn-RS"/>
                </w:rPr>
              </m:ctrlPr>
            </m:den>
          </m:f>
          <m:r>
            <w:rPr>
              <w:rFonts w:hint="default" w:ascii="Cambria Math" w:hAnsi="Cambria Math" w:cs="Times New Roman"/>
              <w:sz w:val="24"/>
              <w:szCs w:val="24"/>
              <w:lang w:val="sr-Latn-RS"/>
            </w:rPr>
            <m:t>∗60</m:t>
          </m:r>
        </m:oMath>
      </m:oMathPara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Рд - редовност измирења обавеза - израчунава се као однос измирених потраживања подносиоца пријаве према ЈКП Градска топлана (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Ип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) и укупног задужења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(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Уз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подносиоца пријаве, на нивоу мерног места (топлотне подстанице) кумулативно, помножено са 30:</w:t>
      </w: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i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Рд = </w:t>
      </w:r>
      <m:oMath>
        <m:f>
          <m:fPr>
            <m:ctrlPr>
              <w:rPr>
                <w:rFonts w:hint="default"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hint="default" w:ascii="Cambria Math" w:hAnsi="Cambria Math" w:cs="Times New Roman"/>
                <w:sz w:val="24"/>
                <w:szCs w:val="24"/>
                <w:lang w:val="sr-Cyrl-RS"/>
              </w:rPr>
              <m:t>Ип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  <w:lang w:val="sr-Cyrl-RS"/>
              </w:rPr>
            </m:ctrlPr>
          </m:num>
          <m:den>
            <m:r>
              <w:rPr>
                <w:rFonts w:hint="default" w:ascii="Cambria Math" w:hAnsi="Cambria Math" w:cs="Times New Roman"/>
                <w:sz w:val="24"/>
                <w:szCs w:val="24"/>
                <w:lang w:val="sr-Cyrl-RS"/>
              </w:rPr>
              <m:t>Уз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  <w:lang w:val="sr-Cyrl-RS"/>
              </w:rPr>
            </m:ctrlPr>
          </m:den>
        </m:f>
        <m:r>
          <w:rPr>
            <w:rFonts w:hint="default" w:ascii="Cambria Math" w:hAnsi="Cambria Math" w:cs="Times New Roman"/>
            <w:sz w:val="24"/>
            <w:szCs w:val="24"/>
            <w:lang w:val="sr-Cyrl-RS"/>
          </w:rPr>
          <m:t>∗</m:t>
        </m:r>
      </m:oMath>
      <w:r>
        <w:rPr>
          <w:rFonts w:hint="default" w:ascii="Times New Roman" w:hAnsi="Times New Roman" w:cs="Times New Roman"/>
          <w:i w:val="0"/>
          <w:sz w:val="24"/>
          <w:szCs w:val="24"/>
          <w:lang w:val="sr-Cyrl-RS"/>
        </w:rPr>
        <w:t>30</w:t>
      </w: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i w:val="0"/>
          <w:sz w:val="24"/>
          <w:szCs w:val="24"/>
          <w:lang w:val="sr-Cyrl-R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i w:val="0"/>
          <w:sz w:val="24"/>
          <w:szCs w:val="24"/>
          <w:lang w:val="sr-Cyrl-R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i w:val="0"/>
          <w:sz w:val="24"/>
          <w:szCs w:val="24"/>
          <w:lang w:val="sr-Cyrl-R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i w:val="0"/>
          <w:sz w:val="24"/>
          <w:szCs w:val="24"/>
          <w:lang w:val="sr-Cyrl-R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i w:val="0"/>
          <w:sz w:val="24"/>
          <w:szCs w:val="24"/>
          <w:lang w:val="sr-Cyrl-R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i w:val="0"/>
          <w:sz w:val="24"/>
          <w:szCs w:val="24"/>
          <w:lang w:val="sr-Cyrl-RS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</w:t>
      </w: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Дт - уграђени делитељи топлоте - израчунава се као однос броја станова код подносиоца пријаве који имају уграђене делитеље топлоте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(Бсд)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и укупног броја станова код подносиоца пријаве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(Убс),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помножено са 10,</w:t>
      </w:r>
    </w:p>
    <w:p>
      <w:pPr>
        <w:tabs>
          <w:tab w:val="left" w:pos="709"/>
        </w:tabs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20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Дт = </w:t>
      </w: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 </w:t>
      </w:r>
      <m:oMath>
        <m:f>
          <m:fPr>
            <m:ctrlPr>
              <w:rPr>
                <w:rFonts w:hint="default" w:ascii="Cambria Math" w:hAnsi="Cambria Math" w:cs="Times New Roman"/>
                <w:sz w:val="24"/>
                <w:szCs w:val="24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cs="Times New Roman"/>
                <w:sz w:val="24"/>
                <w:szCs w:val="24"/>
                <w:lang w:val="sr-Cyrl-RS"/>
              </w:rPr>
              <m:t>Бсд</m:t>
            </m:r>
            <m:ctrlPr>
              <w:rPr>
                <w:rFonts w:hint="default" w:ascii="Cambria Math" w:hAnsi="Cambria Math" w:cs="Times New Roman"/>
                <w:sz w:val="24"/>
                <w:szCs w:val="24"/>
                <w:lang w:val="sr-Latn-RS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cs="Times New Roman"/>
                <w:sz w:val="24"/>
                <w:szCs w:val="24"/>
                <w:lang w:val="sr-Cyrl-RS"/>
              </w:rPr>
              <m:t>Убс</m:t>
            </m:r>
            <m:ctrlPr>
              <w:rPr>
                <w:rFonts w:hint="default" w:ascii="Cambria Math" w:hAnsi="Cambria Math" w:cs="Times New Roman"/>
                <w:sz w:val="24"/>
                <w:szCs w:val="24"/>
                <w:lang w:val="sr-Latn-RS"/>
              </w:rPr>
            </m:ctrlPr>
          </m:den>
        </m:f>
      </m:oMath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 *10   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Максималан број бодова по пријави је 100. Уколико два подносиоца пријаве имају исти број бодова, предност има подносилац пријаве са већом потрошњом топлотне енергије.</w:t>
      </w:r>
    </w:p>
    <w:p>
      <w:pPr>
        <w:spacing w:after="0" w:line="276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НАЧИН ПОДНОШЕЊА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ПРИЈАВА</w:t>
      </w:r>
    </w:p>
    <w:p>
      <w:pPr>
        <w:spacing w:after="0" w:line="276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5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</w:rPr>
        <w:t>Пријава се п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редаје</w:t>
      </w:r>
      <w:r>
        <w:rPr>
          <w:rFonts w:hint="default" w:ascii="Times New Roman" w:hAnsi="Times New Roman" w:cs="Times New Roman"/>
          <w:sz w:val="24"/>
          <w:szCs w:val="24"/>
        </w:rPr>
        <w:t xml:space="preserve"> у затвореној коверти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непосредно, у писарници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Градске управе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 шалтер сала) 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поштом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препоручено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адресу: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Град Зрењанин, Трг слободе бр. 10,</w:t>
      </w:r>
    </w:p>
    <w:p>
      <w:pPr>
        <w:pStyle w:val="1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hint="default" w:ascii="Times New Roman" w:hAnsi="Times New Roman" w:cs="Times New Roman"/>
          <w:b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а назнаком: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ПРИЈАВА ЗА ЈАВНИ ПОЗИВ -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222222"/>
          <w:sz w:val="24"/>
          <w:szCs w:val="24"/>
          <w:shd w:val="clear" w:color="auto" w:fill="FFFFFF"/>
        </w:rPr>
        <w:t>ЕНЕРГЕТСК</w:t>
      </w:r>
      <w:r>
        <w:rPr>
          <w:rFonts w:hint="default" w:ascii="Times New Roman" w:hAnsi="Times New Roman" w:eastAsia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И</w:t>
      </w:r>
      <w:r>
        <w:rPr>
          <w:rFonts w:hint="default" w:ascii="Times New Roman" w:hAnsi="Times New Roman" w:eastAsia="Times New Roman" w:cs="Times New Roman"/>
          <w:b/>
          <w:color w:val="222222"/>
          <w:sz w:val="24"/>
          <w:szCs w:val="24"/>
          <w:shd w:val="clear" w:color="auto" w:fill="FFFFFF"/>
        </w:rPr>
        <w:t xml:space="preserve"> ПРЕГЛЕД </w:t>
      </w:r>
      <w:r>
        <w:rPr>
          <w:rFonts w:hint="default" w:ascii="Times New Roman" w:hAnsi="Times New Roman" w:eastAsia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ОБЈЕКАТА СТАМБЕНИХ ЗАЈЕДИЦА</w:t>
      </w:r>
      <w:r>
        <w:rPr>
          <w:rFonts w:hint="default" w:ascii="Times New Roman" w:hAnsi="Times New Roman" w:eastAsia="Times New Roman" w:cs="Times New Roman"/>
          <w:b/>
          <w:color w:val="222222"/>
          <w:sz w:val="24"/>
          <w:szCs w:val="24"/>
          <w:shd w:val="clear" w:color="auto" w:fill="FFFFFF"/>
        </w:rPr>
        <w:t xml:space="preserve"> СА ПРЕДЛОГОМ ОПТИМАЛНИХ МЕРА ЕНЕРГЕТСКЕ САНАЦИЈЕ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-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Не отварати</w:t>
      </w:r>
    </w:p>
    <w:p>
      <w:pPr>
        <w:pStyle w:val="1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Пријав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е се могу подносити у року од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15</w:t>
      </w:r>
      <w:r>
        <w:rPr>
          <w:rFonts w:hint="default" w:ascii="Times New Roman" w:hAnsi="Times New Roman" w:cs="Times New Roman"/>
          <w:sz w:val="24"/>
          <w:szCs w:val="24"/>
        </w:rPr>
        <w:t xml:space="preserve"> дана од дана објављивања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јавног позива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на званичној интернет стр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ници и огласној табли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г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рада Зрењанина. </w:t>
      </w:r>
    </w:p>
    <w:p>
      <w:pPr>
        <w:pStyle w:val="15"/>
        <w:tabs>
          <w:tab w:val="left" w:pos="426"/>
          <w:tab w:val="left" w:pos="1134"/>
        </w:tabs>
        <w:spacing w:after="0" w:line="240" w:lineRule="auto"/>
        <w:ind w:left="0" w:firstLine="480" w:firstLineChars="2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Непотпуне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и неблаговремене </w:t>
      </w:r>
      <w:r>
        <w:rPr>
          <w:rFonts w:hint="default" w:ascii="Times New Roman" w:hAnsi="Times New Roman" w:cs="Times New Roman"/>
          <w:sz w:val="24"/>
          <w:szCs w:val="24"/>
        </w:rPr>
        <w:t>пријаве неће се разматрати.</w:t>
      </w:r>
    </w:p>
    <w:p>
      <w:pPr>
        <w:spacing w:after="0" w:line="276" w:lineRule="auto"/>
        <w:ind w:firstLine="480" w:firstLineChars="200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Style w:val="12"/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sr-Cyrl-RS"/>
        </w:rPr>
        <w:t>За све додатне информације и обавештења подносиоци пријаве могу се обратити путем контакт особе: Оливера Радић, тел. 066/8660052  или путем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Е-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mail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instrText xml:space="preserve"> HYPERLINK "mailto:olivera.radic@grad.zrenjanin.rs"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fldChar w:fldCharType="separate"/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lang w:val="sr-Latn-RS"/>
        </w:rPr>
        <w:t>olivera.radic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lang w:val="en-US"/>
        </w:rPr>
        <w:t>@grad.zrenjanin.rs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Latn-RS"/>
        </w:rPr>
        <w:fldChar w:fldCharType="end"/>
      </w:r>
    </w:p>
    <w:p>
      <w:pPr>
        <w:spacing w:after="0" w:line="276" w:lineRule="auto"/>
        <w:ind w:firstLine="480" w:firstLineChars="200"/>
        <w:contextualSpacing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p>
      <w:p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 xml:space="preserve">VII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ПРЕГЛЕД И ОЦЕЊЕИВАЊЕ ПРИЈАВА</w:t>
      </w:r>
    </w:p>
    <w:p>
      <w:pPr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15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Комисија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утврђује ранг листу изабраних објеката стамбених заједница у року од 10 дана од дана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истека рока за подношење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пријава, коју објављује на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званичној интернет старници и огласној табли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г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рада Зрењанина. 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ind w:left="5040" w:hanging="5040" w:hangingChars="210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Комисија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 xml:space="preserve">за оцену пријава пристиглих по Јавном позиву за енергетски преглед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sr-Cyrl-RS"/>
        </w:rPr>
        <w:t>објеката за  вишепородично становање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rPr>
          <w:rFonts w:hint="default" w:ascii="Times New Roman" w:hAnsi="Times New Roman" w:cs="Times New Roman"/>
          <w:lang w:val="sr-Latn-RS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sr-Latn-RS"/>
        </w:rPr>
        <w:t xml:space="preserve"> </w:t>
      </w:r>
    </w:p>
    <w:sectPr>
      <w:pgSz w:w="12240" w:h="15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F99"/>
    <w:multiLevelType w:val="multilevel"/>
    <w:tmpl w:val="396F1F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9CB1"/>
    <w:multiLevelType w:val="singleLevel"/>
    <w:tmpl w:val="67E29CB1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9375D"/>
    <w:rsid w:val="000C3FDD"/>
    <w:rsid w:val="000D7E2A"/>
    <w:rsid w:val="000E1196"/>
    <w:rsid w:val="001134A7"/>
    <w:rsid w:val="001703EB"/>
    <w:rsid w:val="001B70DB"/>
    <w:rsid w:val="001C4675"/>
    <w:rsid w:val="001D1F12"/>
    <w:rsid w:val="001F7FED"/>
    <w:rsid w:val="00205D42"/>
    <w:rsid w:val="002112BE"/>
    <w:rsid w:val="002408F2"/>
    <w:rsid w:val="0024474C"/>
    <w:rsid w:val="00247242"/>
    <w:rsid w:val="002551D0"/>
    <w:rsid w:val="002B20A2"/>
    <w:rsid w:val="002B261C"/>
    <w:rsid w:val="002C34D6"/>
    <w:rsid w:val="002F2CD4"/>
    <w:rsid w:val="002F33E9"/>
    <w:rsid w:val="002F5FA0"/>
    <w:rsid w:val="00314207"/>
    <w:rsid w:val="00320D05"/>
    <w:rsid w:val="00354E21"/>
    <w:rsid w:val="00363869"/>
    <w:rsid w:val="00364243"/>
    <w:rsid w:val="003716E7"/>
    <w:rsid w:val="003734C4"/>
    <w:rsid w:val="00392223"/>
    <w:rsid w:val="00392B09"/>
    <w:rsid w:val="003D156A"/>
    <w:rsid w:val="003F42B5"/>
    <w:rsid w:val="003F4EDA"/>
    <w:rsid w:val="00412941"/>
    <w:rsid w:val="00412C65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D4CA4"/>
    <w:rsid w:val="005D4CC6"/>
    <w:rsid w:val="005F4071"/>
    <w:rsid w:val="005F7566"/>
    <w:rsid w:val="005F7990"/>
    <w:rsid w:val="00604BC5"/>
    <w:rsid w:val="0060772A"/>
    <w:rsid w:val="00655160"/>
    <w:rsid w:val="00675EE8"/>
    <w:rsid w:val="006A536C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2C93"/>
    <w:rsid w:val="00815779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6F6C"/>
    <w:rsid w:val="00903722"/>
    <w:rsid w:val="0090597B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35B3D"/>
    <w:rsid w:val="00A81DEC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97152"/>
    <w:rsid w:val="00BA2DCE"/>
    <w:rsid w:val="00BA5401"/>
    <w:rsid w:val="00BC6760"/>
    <w:rsid w:val="00BC7C96"/>
    <w:rsid w:val="00BD6FB4"/>
    <w:rsid w:val="00BE446D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82876"/>
    <w:rsid w:val="00F92E26"/>
    <w:rsid w:val="00FB142F"/>
    <w:rsid w:val="00FE05DB"/>
    <w:rsid w:val="00FF5F34"/>
    <w:rsid w:val="02E77214"/>
    <w:rsid w:val="07C52C35"/>
    <w:rsid w:val="19213691"/>
    <w:rsid w:val="1BE11D81"/>
    <w:rsid w:val="239D61CD"/>
    <w:rsid w:val="26A25434"/>
    <w:rsid w:val="2CFA65E0"/>
    <w:rsid w:val="483601BD"/>
    <w:rsid w:val="53F0350E"/>
    <w:rsid w:val="73314282"/>
    <w:rsid w:val="74C876FF"/>
    <w:rsid w:val="75C1141E"/>
    <w:rsid w:val="75C67C37"/>
    <w:rsid w:val="79E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5">
    <w:name w:val="annotation text"/>
    <w:basedOn w:val="1"/>
    <w:link w:val="18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6">
    <w:name w:val="annotation subject"/>
    <w:basedOn w:val="5"/>
    <w:next w:val="5"/>
    <w:link w:val="20"/>
    <w:semiHidden/>
    <w:unhideWhenUsed/>
    <w:qFormat/>
    <w:uiPriority w:val="99"/>
    <w:pPr>
      <w:spacing w:after="160"/>
    </w:pPr>
    <w:rPr>
      <w:rFonts w:asciiTheme="minorHAnsi" w:hAnsiTheme="minorHAnsi" w:eastAsiaTheme="minorHAnsi" w:cstheme="minorBidi"/>
      <w:b/>
      <w:bCs/>
      <w:lang w:val="en-GB"/>
    </w:rPr>
  </w:style>
  <w:style w:type="paragraph" w:styleId="7">
    <w:name w:val="footnote text"/>
    <w:basedOn w:val="1"/>
    <w:link w:val="16"/>
    <w:unhideWhenUsed/>
    <w:qFormat/>
    <w:uiPriority w:val="0"/>
    <w:pPr>
      <w:spacing w:after="0" w:line="240" w:lineRule="auto"/>
    </w:pPr>
    <w:rPr>
      <w:sz w:val="20"/>
      <w:szCs w:val="20"/>
    </w:rPr>
  </w:style>
  <w:style w:type="character" w:styleId="9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0">
    <w:name w:val="footnote reference"/>
    <w:basedOn w:val="8"/>
    <w:semiHidden/>
    <w:unhideWhenUsed/>
    <w:uiPriority w:val="0"/>
    <w:rPr>
      <w:vertAlign w:val="superscript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styleId="12">
    <w:name w:val="Strong"/>
    <w:basedOn w:val="8"/>
    <w:qFormat/>
    <w:uiPriority w:val="22"/>
    <w:rPr>
      <w:b/>
      <w:bCs/>
    </w:rPr>
  </w:style>
  <w:style w:type="table" w:styleId="14">
    <w:name w:val="Table Grid"/>
    <w:basedOn w:val="13"/>
    <w:qFormat/>
    <w:uiPriority w:val="59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Footnote Text Char"/>
    <w:basedOn w:val="8"/>
    <w:link w:val="7"/>
    <w:qFormat/>
    <w:uiPriority w:val="0"/>
    <w:rPr>
      <w:sz w:val="20"/>
      <w:szCs w:val="20"/>
      <w:lang w:val="en-GB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sr-Latn-RS" w:eastAsia="en-US" w:bidi="ar-SA"/>
    </w:rPr>
  </w:style>
  <w:style w:type="character" w:customStyle="1" w:styleId="18">
    <w:name w:val="Comment Text Char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Comment Subject Char"/>
    <w:basedOn w:val="18"/>
    <w:link w:val="6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customStyle="1" w:styleId="21">
    <w:name w:val="Balloon Text Char"/>
    <w:basedOn w:val="8"/>
    <w:link w:val="3"/>
    <w:semiHidden/>
    <w:qFormat/>
    <w:uiPriority w:val="99"/>
    <w:rPr>
      <w:rFonts w:ascii="Segoe UI" w:hAnsi="Segoe UI" w:cs="Segoe UI"/>
      <w:sz w:val="18"/>
      <w:szCs w:val="18"/>
      <w:lang w:val="en-GB"/>
    </w:rPr>
  </w:style>
  <w:style w:type="paragraph" w:styleId="2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8F90E-C469-48C7-9984-83830C850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3588</Words>
  <Characters>20453</Characters>
  <Lines>170</Lines>
  <Paragraphs>47</Paragraphs>
  <TotalTime>3</TotalTime>
  <ScaleCrop>false</ScaleCrop>
  <LinksUpToDate>false</LinksUpToDate>
  <CharactersWithSpaces>23994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2021-06-22T09:10:00Z</dcterms:created>
  <dc:creator>HP EliteBook 840 G3</dc:creator>
  <cp:lastModifiedBy>ddundjerski</cp:lastModifiedBy>
  <dcterms:modified xsi:type="dcterms:W3CDTF">2022-02-11T11:41:38Z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ICV">
    <vt:lpwstr>F73C20F8A5ED453D8C08A4AF79D0166A</vt:lpwstr>
  </property>
</Properties>
</file>